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5C" w:rsidRPr="00AE1440" w:rsidRDefault="000A3C5C" w:rsidP="00AE1440">
      <w:pPr>
        <w:autoSpaceDE w:val="0"/>
        <w:autoSpaceDN w:val="0"/>
        <w:adjustRightInd w:val="0"/>
        <w:rPr>
          <w:rFonts w:ascii="TimesLTStd-Roman" w:hAnsi="TimesLTStd-Roman" w:cs="TimesLTStd-Roman"/>
          <w:b/>
          <w:sz w:val="32"/>
          <w:szCs w:val="32"/>
        </w:rPr>
      </w:pPr>
      <w:bookmarkStart w:id="0" w:name="_GoBack"/>
      <w:bookmarkEnd w:id="0"/>
      <w:r w:rsidRPr="00AE1440">
        <w:rPr>
          <w:rFonts w:ascii="TimesLTStd-Roman" w:hAnsi="TimesLTStd-Roman" w:cs="TimesLTStd-Roman"/>
          <w:b/>
          <w:sz w:val="32"/>
          <w:szCs w:val="32"/>
        </w:rPr>
        <w:t>Legge 107/2015</w:t>
      </w:r>
    </w:p>
    <w:p w:rsidR="000A3C5C" w:rsidRDefault="000A3C5C" w:rsidP="00AE1440">
      <w:pPr>
        <w:autoSpaceDE w:val="0"/>
        <w:autoSpaceDN w:val="0"/>
        <w:adjustRightInd w:val="0"/>
        <w:rPr>
          <w:rFonts w:ascii="TimesLTStd-Roman" w:hAnsi="TimesLTStd-Roman" w:cs="TimesLTStd-Roman"/>
          <w:sz w:val="23"/>
          <w:szCs w:val="23"/>
        </w:rPr>
      </w:pPr>
    </w:p>
    <w:p w:rsidR="000A3C5C" w:rsidRPr="00AE1440" w:rsidRDefault="000A3C5C" w:rsidP="00AE1440">
      <w:pPr>
        <w:autoSpaceDE w:val="0"/>
        <w:autoSpaceDN w:val="0"/>
        <w:adjustRightInd w:val="0"/>
        <w:rPr>
          <w:rFonts w:ascii="TimesLTStd-Roman" w:hAnsi="TimesLTStd-Roman" w:cs="TimesLTStd-Roman"/>
          <w:b/>
        </w:rPr>
      </w:pPr>
      <w:r w:rsidRPr="00AE1440">
        <w:rPr>
          <w:rFonts w:ascii="TimesLTStd-Roman" w:hAnsi="TimesLTStd-Roman" w:cs="TimesLTStd-Roman"/>
          <w:b/>
        </w:rPr>
        <w:t>Articoli relativi alla costituzione del Comitato di Valutazione e all’assegnazione del bonus.</w:t>
      </w:r>
    </w:p>
    <w:p w:rsidR="000A3C5C" w:rsidRDefault="000A3C5C" w:rsidP="00AE1440">
      <w:pPr>
        <w:autoSpaceDE w:val="0"/>
        <w:autoSpaceDN w:val="0"/>
        <w:adjustRightInd w:val="0"/>
        <w:rPr>
          <w:rFonts w:ascii="TimesLTStd-Roman" w:hAnsi="TimesLTStd-Roman" w:cs="TimesLTStd-Roman"/>
          <w:sz w:val="23"/>
          <w:szCs w:val="23"/>
        </w:rPr>
      </w:pPr>
    </w:p>
    <w:p w:rsidR="000A3C5C" w:rsidRDefault="000A3C5C" w:rsidP="00AE1440">
      <w:pPr>
        <w:autoSpaceDE w:val="0"/>
        <w:autoSpaceDN w:val="0"/>
        <w:adjustRightInd w:val="0"/>
        <w:jc w:val="both"/>
        <w:rPr>
          <w:rFonts w:ascii="TimesLTStd-Roman" w:hAnsi="TimesLTStd-Roman" w:cs="TimesLTStd-Roman"/>
          <w:sz w:val="23"/>
          <w:szCs w:val="23"/>
        </w:rPr>
      </w:pPr>
      <w:r w:rsidRPr="00AE1440">
        <w:rPr>
          <w:rFonts w:ascii="TimesLTStd-Roman" w:hAnsi="TimesLTStd-Roman" w:cs="TimesLTStd-Roman"/>
          <w:b/>
          <w:sz w:val="23"/>
          <w:szCs w:val="23"/>
        </w:rPr>
        <w:t>126</w:t>
      </w:r>
      <w:r>
        <w:rPr>
          <w:rFonts w:ascii="TimesLTStd-Roman" w:hAnsi="TimesLTStd-Roman" w:cs="TimesLTStd-Roman"/>
          <w:sz w:val="23"/>
          <w:szCs w:val="23"/>
        </w:rPr>
        <w:t>. Per la valorizzazione del merito del personale docente è istituito presso il Ministero</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dell’istruzione, dell’università e della ricerca un apposito fondo, con lo stanziamento</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di euro 200 milioni annui a decorrere dall’anno 2016, ripartito a livello territoriale</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e tra le istituzioni scolastiche in proporzione alla dotazione organica dei docenti, considerando</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altresì i fattori di complessità delle istituzioni scolastiche e delle aree soggette</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a maggiore rischio educativo, con decreto del Ministro dell’istruzione, dell’università</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 xml:space="preserve">e della ricerca. </w:t>
      </w:r>
    </w:p>
    <w:p w:rsidR="000A3C5C" w:rsidRDefault="000A3C5C" w:rsidP="00AE1440">
      <w:pPr>
        <w:autoSpaceDE w:val="0"/>
        <w:autoSpaceDN w:val="0"/>
        <w:adjustRightInd w:val="0"/>
        <w:jc w:val="both"/>
        <w:rPr>
          <w:rFonts w:ascii="TimesLTStd-Roman" w:hAnsi="TimesLTStd-Roman" w:cs="TimesLTStd-Roman"/>
          <w:sz w:val="23"/>
          <w:szCs w:val="23"/>
        </w:rPr>
      </w:pPr>
    </w:p>
    <w:p w:rsidR="000A3C5C" w:rsidRDefault="000A3C5C" w:rsidP="00AE1440">
      <w:pPr>
        <w:autoSpaceDE w:val="0"/>
        <w:autoSpaceDN w:val="0"/>
        <w:adjustRightInd w:val="0"/>
        <w:jc w:val="both"/>
        <w:rPr>
          <w:rFonts w:ascii="TimesLTStd-Roman" w:hAnsi="TimesLTStd-Roman" w:cs="TimesLTStd-Roman"/>
          <w:sz w:val="23"/>
          <w:szCs w:val="23"/>
        </w:rPr>
      </w:pPr>
      <w:r w:rsidRPr="00AE1440">
        <w:rPr>
          <w:rFonts w:ascii="TimesLTStd-Roman" w:hAnsi="TimesLTStd-Roman" w:cs="TimesLTStd-Roman"/>
          <w:b/>
          <w:sz w:val="23"/>
          <w:szCs w:val="23"/>
        </w:rPr>
        <w:t>127.</w:t>
      </w:r>
      <w:r>
        <w:rPr>
          <w:rFonts w:ascii="TimesLTStd-Roman" w:hAnsi="TimesLTStd-Roman" w:cs="TimesLTStd-Roman"/>
          <w:sz w:val="23"/>
          <w:szCs w:val="23"/>
        </w:rPr>
        <w:t xml:space="preserve"> Il dirigente scolastico, sulla base dei criteri individuati dal comitato per la valutazione</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dei docenti, istituito ai sensi dell’articolo 11 del testo unico di cui al decreto legislativo 16 aprile 1994, n. 297, come sostituito dal comma 129 del presente articolo, assegna annualmente al personale docente una somma del fondo di cui al comma 126 sulla base di motivata valutazione.</w:t>
      </w:r>
    </w:p>
    <w:p w:rsidR="000A3C5C" w:rsidRDefault="000A3C5C" w:rsidP="00AE1440">
      <w:pPr>
        <w:autoSpaceDE w:val="0"/>
        <w:autoSpaceDN w:val="0"/>
        <w:adjustRightInd w:val="0"/>
        <w:jc w:val="both"/>
        <w:rPr>
          <w:rFonts w:ascii="TimesLTStd-Roman" w:hAnsi="TimesLTStd-Roman" w:cs="TimesLTStd-Roman"/>
          <w:sz w:val="23"/>
          <w:szCs w:val="23"/>
        </w:rPr>
      </w:pPr>
    </w:p>
    <w:p w:rsidR="000A3C5C" w:rsidRDefault="000A3C5C" w:rsidP="00AE1440">
      <w:pPr>
        <w:autoSpaceDE w:val="0"/>
        <w:autoSpaceDN w:val="0"/>
        <w:adjustRightInd w:val="0"/>
        <w:jc w:val="both"/>
        <w:rPr>
          <w:rFonts w:ascii="TimesLTStd-Roman" w:hAnsi="TimesLTStd-Roman" w:cs="TimesLTStd-Roman"/>
          <w:sz w:val="23"/>
          <w:szCs w:val="23"/>
        </w:rPr>
      </w:pPr>
      <w:r w:rsidRPr="00AE1440">
        <w:rPr>
          <w:rFonts w:ascii="TimesLTStd-Roman" w:hAnsi="TimesLTStd-Roman" w:cs="TimesLTStd-Roman"/>
          <w:b/>
          <w:sz w:val="23"/>
          <w:szCs w:val="23"/>
        </w:rPr>
        <w:t>128.</w:t>
      </w:r>
      <w:r>
        <w:rPr>
          <w:rFonts w:ascii="TimesLTStd-Roman" w:hAnsi="TimesLTStd-Roman" w:cs="TimesLTStd-Roman"/>
          <w:sz w:val="23"/>
          <w:szCs w:val="23"/>
        </w:rPr>
        <w:t xml:space="preserve"> La somma di cui al comma 127, definita </w:t>
      </w:r>
      <w:r>
        <w:rPr>
          <w:rFonts w:ascii="TimesLTStd-Italic" w:hAnsi="TimesLTStd-Italic" w:cs="TimesLTStd-Italic"/>
          <w:i/>
          <w:iCs/>
          <w:sz w:val="23"/>
          <w:szCs w:val="23"/>
        </w:rPr>
        <w:t>bonus</w:t>
      </w:r>
      <w:r>
        <w:rPr>
          <w:rFonts w:ascii="TimesLTStd-Roman" w:hAnsi="TimesLTStd-Roman" w:cs="TimesLTStd-Roman"/>
          <w:sz w:val="23"/>
          <w:szCs w:val="23"/>
        </w:rPr>
        <w:t>, è destinata a valorizzare il merito del personale docente di ruolo delle istituzioni scolastiche di ogni ordine e grado e ha natura di retribuzione accessoria.</w:t>
      </w:r>
    </w:p>
    <w:p w:rsidR="000A3C5C" w:rsidRDefault="000A3C5C" w:rsidP="00AE1440">
      <w:pPr>
        <w:autoSpaceDE w:val="0"/>
        <w:autoSpaceDN w:val="0"/>
        <w:adjustRightInd w:val="0"/>
        <w:jc w:val="both"/>
        <w:rPr>
          <w:rFonts w:ascii="TimesLTStd-Roman" w:hAnsi="TimesLTStd-Roman" w:cs="TimesLTStd-Roman"/>
          <w:sz w:val="23"/>
          <w:szCs w:val="23"/>
        </w:rPr>
      </w:pPr>
    </w:p>
    <w:p w:rsidR="000A3C5C" w:rsidRDefault="000A3C5C" w:rsidP="00AE1440">
      <w:pPr>
        <w:autoSpaceDE w:val="0"/>
        <w:autoSpaceDN w:val="0"/>
        <w:adjustRightInd w:val="0"/>
        <w:jc w:val="both"/>
        <w:rPr>
          <w:rFonts w:ascii="TimesLTStd-Roman" w:hAnsi="TimesLTStd-Roman" w:cs="TimesLTStd-Roman"/>
          <w:sz w:val="23"/>
          <w:szCs w:val="23"/>
        </w:rPr>
      </w:pPr>
      <w:r w:rsidRPr="00AE1440">
        <w:rPr>
          <w:rFonts w:ascii="TimesLTStd-Roman" w:hAnsi="TimesLTStd-Roman" w:cs="TimesLTStd-Roman"/>
          <w:b/>
          <w:sz w:val="23"/>
          <w:szCs w:val="23"/>
        </w:rPr>
        <w:t>129.</w:t>
      </w:r>
      <w:r>
        <w:rPr>
          <w:rFonts w:ascii="TimesLTStd-Roman" w:hAnsi="TimesLTStd-Roman" w:cs="TimesLTStd-Roman"/>
          <w:sz w:val="23"/>
          <w:szCs w:val="23"/>
        </w:rPr>
        <w:t xml:space="preserve"> Dall’inizio dell’anno scolastico successivo a quello in corso alla data di entrata in vigore della presente legge, l’articolo 11 del testo unico di cui al decreto legislativo 16 aprile 1994, n. 297, è sostituito dal seguente:</w:t>
      </w:r>
    </w:p>
    <w:p w:rsidR="000A3C5C" w:rsidRDefault="000A3C5C" w:rsidP="00AE1440">
      <w:pPr>
        <w:autoSpaceDE w:val="0"/>
        <w:autoSpaceDN w:val="0"/>
        <w:adjustRightInd w:val="0"/>
        <w:jc w:val="both"/>
        <w:rPr>
          <w:rFonts w:ascii="TimesLTStd-Italic" w:hAnsi="TimesLTStd-Italic" w:cs="TimesLTStd-Italic"/>
          <w:i/>
          <w:iCs/>
          <w:sz w:val="23"/>
          <w:szCs w:val="23"/>
        </w:rPr>
      </w:pPr>
      <w:r>
        <w:rPr>
          <w:rFonts w:ascii="TimesLTStd-Roman" w:hAnsi="TimesLTStd-Roman" w:cs="TimesLTStd-Roman"/>
          <w:sz w:val="23"/>
          <w:szCs w:val="23"/>
        </w:rPr>
        <w:t xml:space="preserve">«Art. 11. </w:t>
      </w:r>
      <w:r>
        <w:rPr>
          <w:rFonts w:ascii="TimesLTStd-Italic" w:hAnsi="TimesLTStd-Italic" w:cs="TimesLTStd-Italic"/>
          <w:i/>
          <w:iCs/>
          <w:sz w:val="23"/>
          <w:szCs w:val="23"/>
        </w:rPr>
        <w:t xml:space="preserve">- (Comitato per la valutazione dei docenti). </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Italic" w:hAnsi="TimesLTStd-Italic" w:cs="TimesLTStd-Italic"/>
          <w:i/>
          <w:iCs/>
          <w:sz w:val="23"/>
          <w:szCs w:val="23"/>
        </w:rPr>
        <w:t>1</w:t>
      </w:r>
      <w:r>
        <w:rPr>
          <w:rFonts w:ascii="TimesLTStd-Roman" w:hAnsi="TimesLTStd-Roman" w:cs="TimesLTStd-Roman"/>
          <w:sz w:val="23"/>
          <w:szCs w:val="23"/>
        </w:rPr>
        <w:t xml:space="preserve">. Presso ogni istituzione scolastica ed educativa è istituito, senza nuovi o maggiori oneri per la finanza pubblica, il comitato per la valutazione dei docenti. </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Italic" w:hAnsi="TimesLTStd-Italic" w:cs="TimesLTStd-Italic"/>
          <w:i/>
          <w:iCs/>
          <w:sz w:val="23"/>
          <w:szCs w:val="23"/>
        </w:rPr>
        <w:t>2</w:t>
      </w:r>
      <w:r>
        <w:rPr>
          <w:rFonts w:ascii="TimesLTStd-Roman" w:hAnsi="TimesLTStd-Roman" w:cs="TimesLTStd-Roman"/>
          <w:sz w:val="23"/>
          <w:szCs w:val="23"/>
        </w:rPr>
        <w:t>. Il comitato ha durata di tre anni scolastici, è presieduto dal dirigente scolastico ed è costituito dai seguenti componenti:</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Italic" w:hAnsi="TimesLTStd-Italic" w:cs="TimesLTStd-Italic"/>
          <w:i/>
          <w:iCs/>
          <w:sz w:val="23"/>
          <w:szCs w:val="23"/>
        </w:rPr>
        <w:t xml:space="preserve">a) </w:t>
      </w:r>
      <w:r>
        <w:rPr>
          <w:rFonts w:ascii="TimesLTStd-Roman" w:hAnsi="TimesLTStd-Roman" w:cs="TimesLTStd-Roman"/>
          <w:sz w:val="23"/>
          <w:szCs w:val="23"/>
        </w:rPr>
        <w:t>tre docenti dell’istituzione scolastica, di cui due scelti dal collegio dei docenti e uno dal consiglio di istituto;</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Italic" w:hAnsi="TimesLTStd-Italic" w:cs="TimesLTStd-Italic"/>
          <w:i/>
          <w:iCs/>
          <w:sz w:val="23"/>
          <w:szCs w:val="23"/>
        </w:rPr>
        <w:t xml:space="preserve">b) </w:t>
      </w:r>
      <w:r>
        <w:rPr>
          <w:rFonts w:ascii="TimesLTStd-Roman" w:hAnsi="TimesLTStd-Roman" w:cs="TimesLTStd-Roman"/>
          <w:sz w:val="23"/>
          <w:szCs w:val="23"/>
        </w:rPr>
        <w:t>due rappresentanti dei genitori, per la scuola dell’infanzia e per il primo ciclo di istruzione; un rappresentante degli studenti e un rappresentante dei genitori, per il secondo ciclo di istruzione, scelti dal consiglio di istituto;</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Italic" w:hAnsi="TimesLTStd-Italic" w:cs="TimesLTStd-Italic"/>
          <w:i/>
          <w:iCs/>
          <w:sz w:val="23"/>
          <w:szCs w:val="23"/>
        </w:rPr>
        <w:t xml:space="preserve">c) </w:t>
      </w:r>
      <w:r>
        <w:rPr>
          <w:rFonts w:ascii="TimesLTStd-Roman" w:hAnsi="TimesLTStd-Roman" w:cs="TimesLTStd-Roman"/>
          <w:sz w:val="23"/>
          <w:szCs w:val="23"/>
        </w:rPr>
        <w:t>un componente esterno individuato dall’ufficio scolastico regionale tra docenti, dirigenti scolastici e dirigenti tecnici.</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Italic" w:hAnsi="TimesLTStd-Italic" w:cs="TimesLTStd-Italic"/>
          <w:i/>
          <w:iCs/>
          <w:sz w:val="23"/>
          <w:szCs w:val="23"/>
        </w:rPr>
        <w:t>3</w:t>
      </w:r>
      <w:r>
        <w:rPr>
          <w:rFonts w:ascii="TimesLTStd-Roman" w:hAnsi="TimesLTStd-Roman" w:cs="TimesLTStd-Roman"/>
          <w:sz w:val="23"/>
          <w:szCs w:val="23"/>
        </w:rPr>
        <w:t>. Il comitato individua i criteri per la valorizzazione dei docenti sulla base:</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Italic" w:hAnsi="TimesLTStd-Italic" w:cs="TimesLTStd-Italic"/>
          <w:i/>
          <w:iCs/>
          <w:sz w:val="23"/>
          <w:szCs w:val="23"/>
        </w:rPr>
        <w:t xml:space="preserve">a) </w:t>
      </w:r>
      <w:r>
        <w:rPr>
          <w:rFonts w:ascii="TimesLTStd-Roman" w:hAnsi="TimesLTStd-Roman" w:cs="TimesLTStd-Roman"/>
          <w:sz w:val="23"/>
          <w:szCs w:val="23"/>
        </w:rPr>
        <w:t>della qualità dell’insegnamento e del contributo al miglioramento dell’istituzione scolastica, nonché del successo formativo e scolastico degli studenti;</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Italic" w:hAnsi="TimesLTStd-Italic" w:cs="TimesLTStd-Italic"/>
          <w:i/>
          <w:iCs/>
          <w:sz w:val="23"/>
          <w:szCs w:val="23"/>
        </w:rPr>
        <w:t xml:space="preserve">b) </w:t>
      </w:r>
      <w:r>
        <w:rPr>
          <w:rFonts w:ascii="TimesLTStd-Roman" w:hAnsi="TimesLTStd-Roman" w:cs="TimesLTStd-Roman"/>
          <w:sz w:val="23"/>
          <w:szCs w:val="23"/>
        </w:rPr>
        <w:t>dei risultati ottenuti dal docente o dal gruppo di docenti in relazione al potenziamento delle competenze degli alunni e dell’innovazione didattica e metodologica, nonché della collaborazione alla ricerca didattica, alla documentazione e alla diffusione di buone pratiche didattiche;</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Italic" w:hAnsi="TimesLTStd-Italic" w:cs="TimesLTStd-Italic"/>
          <w:i/>
          <w:iCs/>
          <w:sz w:val="23"/>
          <w:szCs w:val="23"/>
        </w:rPr>
        <w:t xml:space="preserve">c) </w:t>
      </w:r>
      <w:r>
        <w:rPr>
          <w:rFonts w:ascii="TimesLTStd-Roman" w:hAnsi="TimesLTStd-Roman" w:cs="TimesLTStd-Roman"/>
          <w:sz w:val="23"/>
          <w:szCs w:val="23"/>
        </w:rPr>
        <w:t>delle responsabilità assunte nel coordinamento organizzativo e didattico e nella formazione del personale.</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Italic" w:hAnsi="TimesLTStd-Italic" w:cs="TimesLTStd-Italic"/>
          <w:i/>
          <w:iCs/>
          <w:sz w:val="23"/>
          <w:szCs w:val="23"/>
        </w:rPr>
        <w:t>4</w:t>
      </w:r>
      <w:r>
        <w:rPr>
          <w:rFonts w:ascii="TimesLTStd-Roman" w:hAnsi="TimesLTStd-Roman" w:cs="TimesLTStd-Roman"/>
          <w:sz w:val="23"/>
          <w:szCs w:val="23"/>
        </w:rPr>
        <w:t>. Il comitato esprime altresì il proprio parere sul superamento del periodo di formazione</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lastRenderedPageBreak/>
        <w:t xml:space="preserve">e di prova per il personale docente ed educativo. A tal fine il comitato è composto dal dirigente scolastico, che lo presiede, dai docenti di cui al comma 2, lettera </w:t>
      </w:r>
      <w:r>
        <w:rPr>
          <w:rFonts w:ascii="TimesLTStd-Italic" w:hAnsi="TimesLTStd-Italic" w:cs="TimesLTStd-Italic"/>
          <w:i/>
          <w:iCs/>
          <w:sz w:val="23"/>
          <w:szCs w:val="23"/>
        </w:rPr>
        <w:t xml:space="preserve">a), </w:t>
      </w:r>
      <w:r>
        <w:rPr>
          <w:rFonts w:ascii="TimesLTStd-Roman" w:hAnsi="TimesLTStd-Roman" w:cs="TimesLTStd-Roman"/>
          <w:sz w:val="23"/>
          <w:szCs w:val="23"/>
        </w:rPr>
        <w:t xml:space="preserve">ed è integrato dal docente a cui sono affidate le funzioni di </w:t>
      </w:r>
      <w:r>
        <w:rPr>
          <w:rFonts w:ascii="TimesLTStd-Italic" w:hAnsi="TimesLTStd-Italic" w:cs="TimesLTStd-Italic"/>
          <w:i/>
          <w:iCs/>
          <w:sz w:val="23"/>
          <w:szCs w:val="23"/>
        </w:rPr>
        <w:t>tutor</w:t>
      </w:r>
      <w:r>
        <w:rPr>
          <w:rFonts w:ascii="TimesLTStd-Roman" w:hAnsi="TimesLTStd-Roman" w:cs="TimesLTStd-Roman"/>
          <w:sz w:val="23"/>
          <w:szCs w:val="23"/>
        </w:rPr>
        <w:t>.</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Italic" w:hAnsi="TimesLTStd-Italic" w:cs="TimesLTStd-Italic"/>
          <w:i/>
          <w:iCs/>
          <w:sz w:val="23"/>
          <w:szCs w:val="23"/>
        </w:rPr>
        <w:t>5</w:t>
      </w:r>
      <w:r>
        <w:rPr>
          <w:rFonts w:ascii="TimesLTStd-Roman" w:hAnsi="TimesLTStd-Roman" w:cs="TimesLTStd-Roman"/>
          <w:sz w:val="23"/>
          <w:szCs w:val="23"/>
        </w:rPr>
        <w:t>. Il comitato valuta il servizio di cui all’articolo 448 su richiesta dell’interessato, previa relazione del dirigente scolastico; nel caso di valutazione del servizio di un docente componente del comitato, ai lavori non partecipa l’interessato e il consiglio di istituto provvede all’individuazione di un sostituto. Il comitato esercita altresì le competenze per la riabilitazione del personale docente, di cui all’articolo 501».</w:t>
      </w:r>
    </w:p>
    <w:p w:rsidR="000A3C5C" w:rsidRDefault="000A3C5C" w:rsidP="00AE1440">
      <w:pPr>
        <w:autoSpaceDE w:val="0"/>
        <w:autoSpaceDN w:val="0"/>
        <w:adjustRightInd w:val="0"/>
        <w:jc w:val="both"/>
        <w:rPr>
          <w:rFonts w:ascii="TimesLTStd-Roman" w:hAnsi="TimesLTStd-Roman" w:cs="TimesLTStd-Roman"/>
          <w:sz w:val="23"/>
          <w:szCs w:val="23"/>
        </w:rPr>
      </w:pPr>
    </w:p>
    <w:p w:rsidR="000A3C5C" w:rsidRDefault="000A3C5C" w:rsidP="00AE1440">
      <w:pPr>
        <w:autoSpaceDE w:val="0"/>
        <w:autoSpaceDN w:val="0"/>
        <w:adjustRightInd w:val="0"/>
        <w:jc w:val="both"/>
        <w:rPr>
          <w:rFonts w:ascii="TimesLTStd-Roman" w:hAnsi="TimesLTStd-Roman" w:cs="TimesLTStd-Roman"/>
          <w:sz w:val="23"/>
          <w:szCs w:val="23"/>
        </w:rPr>
      </w:pPr>
      <w:r w:rsidRPr="00AE1440">
        <w:rPr>
          <w:rFonts w:ascii="TimesLTStd-Roman" w:hAnsi="TimesLTStd-Roman" w:cs="TimesLTStd-Roman"/>
          <w:b/>
          <w:sz w:val="23"/>
          <w:szCs w:val="23"/>
        </w:rPr>
        <w:t>130.</w:t>
      </w:r>
      <w:r>
        <w:rPr>
          <w:rFonts w:ascii="TimesLTStd-Roman" w:hAnsi="TimesLTStd-Roman" w:cs="TimesLTStd-Roman"/>
          <w:sz w:val="23"/>
          <w:szCs w:val="23"/>
        </w:rPr>
        <w:t xml:space="preserve"> Al termine del triennio 2016-2018, gli uffici scolastici regionali inviano al Ministero</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dell’istruzione, dell’università e della ricerca una relazione sui criteri adottati dalle</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istituzioni scolastiche per il riconoscimento del merito dei docenti ai sensi dell’articolo</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11 del testo unico di cui al decreto legislativo 16 aprile 1994, n. 297, come sostituito</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dal comma 129 del presente articolo. Sulla base delle relazioni ricevute, un apposito</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Comitato tecnico scientifico nominato dal Ministro dell’istruzione, dell’università e</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della ricerca, previo confronto con le parti sociali e le rappresentanze professionali,</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predispone le linee guida per la valutazione del merito dei docenti a livello nazionale.</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Tali linee guida sono riviste periodicamente, su indicazione del Ministero dell’istruzione,</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dell’università e della ricerca, sulla base delle evidenze che emergono dalle relazioni</w:t>
      </w:r>
    </w:p>
    <w:p w:rsidR="000A3C5C" w:rsidRDefault="000A3C5C" w:rsidP="00AE1440">
      <w:pPr>
        <w:autoSpaceDE w:val="0"/>
        <w:autoSpaceDN w:val="0"/>
        <w:adjustRightInd w:val="0"/>
        <w:jc w:val="both"/>
        <w:rPr>
          <w:rFonts w:ascii="TimesLTStd-Roman" w:hAnsi="TimesLTStd-Roman" w:cs="TimesLTStd-Roman"/>
          <w:sz w:val="23"/>
          <w:szCs w:val="23"/>
        </w:rPr>
      </w:pPr>
      <w:r>
        <w:rPr>
          <w:rFonts w:ascii="TimesLTStd-Roman" w:hAnsi="TimesLTStd-Roman" w:cs="TimesLTStd-Roman"/>
          <w:sz w:val="23"/>
          <w:szCs w:val="23"/>
        </w:rPr>
        <w:t>degli uffici scolastici regionali. Ai componenti del Comitato non spetta alcun compenso,</w:t>
      </w:r>
    </w:p>
    <w:p w:rsidR="000A3C5C" w:rsidRPr="00004C15" w:rsidRDefault="000A3C5C" w:rsidP="00AE1440">
      <w:pPr>
        <w:autoSpaceDE w:val="0"/>
        <w:autoSpaceDN w:val="0"/>
        <w:adjustRightInd w:val="0"/>
        <w:jc w:val="both"/>
      </w:pPr>
      <w:r>
        <w:rPr>
          <w:rFonts w:ascii="TimesLTStd-Roman" w:hAnsi="TimesLTStd-Roman" w:cs="TimesLTStd-Roman"/>
          <w:sz w:val="23"/>
          <w:szCs w:val="23"/>
        </w:rPr>
        <w:t>indennità, gettone di presenza, rimborso di spese o emolumento comunque denominato.</w:t>
      </w:r>
    </w:p>
    <w:p w:rsidR="000A3C5C" w:rsidRPr="00004C15" w:rsidRDefault="000A3C5C" w:rsidP="00AE1440">
      <w:pPr>
        <w:jc w:val="both"/>
      </w:pPr>
    </w:p>
    <w:sectPr w:rsidR="000A3C5C" w:rsidRPr="00004C15" w:rsidSect="00FA25BE">
      <w:headerReference w:type="default" r:id="rId7"/>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80B" w:rsidRDefault="003B280B">
      <w:r>
        <w:separator/>
      </w:r>
    </w:p>
  </w:endnote>
  <w:endnote w:type="continuationSeparator" w:id="0">
    <w:p w:rsidR="003B280B" w:rsidRDefault="003B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Std-Roman">
    <w:panose1 w:val="00000000000000000000"/>
    <w:charset w:val="00"/>
    <w:family w:val="swiss"/>
    <w:notTrueType/>
    <w:pitch w:val="default"/>
    <w:sig w:usb0="00000003" w:usb1="00000000" w:usb2="00000000" w:usb3="00000000" w:csb0="00000001" w:csb1="00000000"/>
  </w:font>
  <w:font w:name="TimesLTSt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80B" w:rsidRDefault="003B280B">
      <w:r>
        <w:separator/>
      </w:r>
    </w:p>
  </w:footnote>
  <w:footnote w:type="continuationSeparator" w:id="0">
    <w:p w:rsidR="003B280B" w:rsidRDefault="003B2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C5C" w:rsidRDefault="003B280B" w:rsidP="000C6B29">
    <w:pPr>
      <w:jc w:val="center"/>
      <w:outlineLvl w:val="0"/>
      <w:rPr>
        <w:i/>
        <w:iCs/>
        <w:sz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pt;margin-top:0;width:61.5pt;height:60.1pt;z-index:251658240" fillcolor="window">
          <v:imagedata r:id="rId1" o:title=""/>
          <w10:wrap type="square"/>
        </v:shape>
        <o:OLEObject Type="Embed" ProgID="Word.Picture.8" ShapeID="_x0000_s2049" DrawAspect="Content" ObjectID="_1507188200" r:id="rId2"/>
      </w:object>
    </w:r>
    <w:r w:rsidR="00F95ADD">
      <w:rPr>
        <w:noProof/>
      </w:rPr>
      <w:drawing>
        <wp:anchor distT="0" distB="0" distL="114300" distR="114300" simplePos="0" relativeHeight="251657216" behindDoc="0" locked="0" layoutInCell="1" allowOverlap="1">
          <wp:simplePos x="0" y="0"/>
          <wp:positionH relativeFrom="column">
            <wp:posOffset>-289560</wp:posOffset>
          </wp:positionH>
          <wp:positionV relativeFrom="paragraph">
            <wp:posOffset>-3175</wp:posOffset>
          </wp:positionV>
          <wp:extent cx="800100" cy="783590"/>
          <wp:effectExtent l="0" t="0" r="0" b="0"/>
          <wp:wrapSquare wrapText="bothSides"/>
          <wp:docPr id="2" name="Immagine 1" descr="logo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rafic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83590"/>
                  </a:xfrm>
                  <a:prstGeom prst="rect">
                    <a:avLst/>
                  </a:prstGeom>
                  <a:noFill/>
                </pic:spPr>
              </pic:pic>
            </a:graphicData>
          </a:graphic>
          <wp14:sizeRelH relativeFrom="page">
            <wp14:pctWidth>0</wp14:pctWidth>
          </wp14:sizeRelH>
          <wp14:sizeRelV relativeFrom="page">
            <wp14:pctHeight>0</wp14:pctHeight>
          </wp14:sizeRelV>
        </wp:anchor>
      </w:drawing>
    </w:r>
    <w:r w:rsidR="000A3C5C">
      <w:rPr>
        <w:i/>
        <w:iCs/>
        <w:sz w:val="32"/>
      </w:rPr>
      <w:t>Istituto Istruzione Superiore “</w:t>
    </w:r>
    <w:smartTag w:uri="urn:schemas-microsoft-com:office:smarttags" w:element="PersonName">
      <w:smartTagPr>
        <w:attr w:name="ProductID" w:val="Michele Sanmicheli"/>
      </w:smartTagPr>
      <w:r w:rsidR="000A3C5C">
        <w:rPr>
          <w:i/>
          <w:iCs/>
          <w:sz w:val="32"/>
        </w:rPr>
        <w:t>Michele Sanmicheli</w:t>
      </w:r>
    </w:smartTag>
    <w:r w:rsidR="000A3C5C">
      <w:rPr>
        <w:i/>
        <w:iCs/>
        <w:sz w:val="32"/>
      </w:rPr>
      <w:t>”</w:t>
    </w:r>
  </w:p>
  <w:p w:rsidR="000A3C5C" w:rsidRPr="00C36E78" w:rsidRDefault="000A3C5C" w:rsidP="000C6B29">
    <w:pPr>
      <w:jc w:val="center"/>
      <w:rPr>
        <w:i/>
        <w:iCs/>
        <w:sz w:val="22"/>
        <w:szCs w:val="22"/>
      </w:rPr>
    </w:pPr>
    <w:r w:rsidRPr="00C36E78">
      <w:rPr>
        <w:i/>
        <w:iCs/>
        <w:sz w:val="22"/>
        <w:szCs w:val="22"/>
      </w:rPr>
      <w:t>Professionale Servizi Socio-Sanitari, Professionale per i  Servizi Commerciali</w:t>
    </w:r>
  </w:p>
  <w:p w:rsidR="000A3C5C" w:rsidRPr="00C36E78" w:rsidRDefault="000A3C5C" w:rsidP="000C6B29">
    <w:pPr>
      <w:jc w:val="center"/>
      <w:rPr>
        <w:i/>
        <w:iCs/>
        <w:sz w:val="22"/>
        <w:szCs w:val="22"/>
      </w:rPr>
    </w:pPr>
    <w:r w:rsidRPr="00C36E78">
      <w:rPr>
        <w:i/>
        <w:iCs/>
        <w:sz w:val="22"/>
        <w:szCs w:val="22"/>
      </w:rPr>
      <w:t>Professionale Industria e Artigianato Settore Moda</w:t>
    </w:r>
  </w:p>
  <w:p w:rsidR="000A3C5C" w:rsidRPr="00031250" w:rsidRDefault="000A3C5C" w:rsidP="00C36E78">
    <w:pPr>
      <w:jc w:val="center"/>
      <w:rPr>
        <w:sz w:val="20"/>
        <w:szCs w:val="20"/>
      </w:rPr>
    </w:pPr>
    <w:r w:rsidRPr="00031250">
      <w:rPr>
        <w:sz w:val="20"/>
        <w:szCs w:val="20"/>
      </w:rPr>
      <w:t>Piazza Bernardi, 2 - cap 37129 Verona</w:t>
    </w:r>
  </w:p>
  <w:p w:rsidR="000A3C5C" w:rsidRPr="00031250" w:rsidRDefault="000A3C5C" w:rsidP="00C36E78">
    <w:pPr>
      <w:jc w:val="center"/>
      <w:rPr>
        <w:sz w:val="20"/>
        <w:szCs w:val="20"/>
      </w:rPr>
    </w:pPr>
    <w:r w:rsidRPr="00031250">
      <w:rPr>
        <w:sz w:val="20"/>
        <w:szCs w:val="20"/>
      </w:rPr>
      <w:t xml:space="preserve">  Tel 0458003721 -  Fax 0458002645  -  C.F. 80017760234</w:t>
    </w:r>
  </w:p>
  <w:p w:rsidR="000A3C5C" w:rsidRPr="00031250" w:rsidRDefault="000A3C5C" w:rsidP="00C36E78">
    <w:pPr>
      <w:jc w:val="center"/>
      <w:rPr>
        <w:sz w:val="20"/>
        <w:szCs w:val="20"/>
      </w:rPr>
    </w:pPr>
    <w:r w:rsidRPr="00031250">
      <w:rPr>
        <w:sz w:val="20"/>
        <w:szCs w:val="20"/>
      </w:rPr>
      <w:t>Sede succursale Via Selinunte, 68 -  Tel.0454937530 – Fax 0454937531</w:t>
    </w:r>
  </w:p>
  <w:p w:rsidR="000A3C5C" w:rsidRPr="00001497" w:rsidRDefault="000A3C5C" w:rsidP="00C36E78">
    <w:pPr>
      <w:jc w:val="center"/>
      <w:rPr>
        <w:sz w:val="20"/>
        <w:szCs w:val="20"/>
      </w:rPr>
    </w:pPr>
    <w:r w:rsidRPr="00001497">
      <w:rPr>
        <w:sz w:val="20"/>
        <w:szCs w:val="20"/>
      </w:rPr>
      <w:t>www.sanmicheli.</w:t>
    </w:r>
    <w:r>
      <w:rPr>
        <w:sz w:val="20"/>
        <w:szCs w:val="20"/>
      </w:rPr>
      <w:t>gov.</w:t>
    </w:r>
    <w:r w:rsidRPr="00001497">
      <w:rPr>
        <w:sz w:val="20"/>
        <w:szCs w:val="20"/>
      </w:rPr>
      <w:t>it – ufficio.protocollo@sanmicheli.</w:t>
    </w:r>
    <w:r>
      <w:rPr>
        <w:sz w:val="20"/>
        <w:szCs w:val="20"/>
      </w:rPr>
      <w:t>gov.</w:t>
    </w:r>
    <w:r w:rsidRPr="00001497">
      <w:rPr>
        <w:sz w:val="20"/>
        <w:szCs w:val="20"/>
      </w:rPr>
      <w:t xml:space="preserve">it - </w:t>
    </w:r>
    <w:smartTag w:uri="urn:schemas-microsoft-com:office:smarttags" w:element="PersonName">
      <w:r w:rsidRPr="00001497">
        <w:rPr>
          <w:sz w:val="20"/>
          <w:szCs w:val="20"/>
        </w:rPr>
        <w:t>vris009002@pec.sanmicheli.it</w:t>
      </w:r>
    </w:smartTag>
  </w:p>
  <w:p w:rsidR="000A3C5C" w:rsidRPr="00001497" w:rsidRDefault="000A3C5C" w:rsidP="00C36E78">
    <w:pPr>
      <w:jc w:val="cente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2A4"/>
    <w:multiLevelType w:val="hybridMultilevel"/>
    <w:tmpl w:val="595473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654EE"/>
    <w:multiLevelType w:val="hybridMultilevel"/>
    <w:tmpl w:val="04800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5F2F5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F23893"/>
    <w:multiLevelType w:val="hybridMultilevel"/>
    <w:tmpl w:val="4E5C86F6"/>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EB07F50"/>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4E0ED7"/>
    <w:multiLevelType w:val="hybridMultilevel"/>
    <w:tmpl w:val="112E4EF0"/>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33575"/>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9D757D"/>
    <w:multiLevelType w:val="hybridMultilevel"/>
    <w:tmpl w:val="1722C1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9E247A4"/>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B74128"/>
    <w:multiLevelType w:val="hybridMultilevel"/>
    <w:tmpl w:val="D97ADDDE"/>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10" w15:restartNumberingAfterBreak="0">
    <w:nsid w:val="498540E6"/>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0A7179"/>
    <w:multiLevelType w:val="hybridMultilevel"/>
    <w:tmpl w:val="1674AF1A"/>
    <w:lvl w:ilvl="0" w:tplc="E390A316">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15:restartNumberingAfterBreak="0">
    <w:nsid w:val="534D78DC"/>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6F6D9F"/>
    <w:multiLevelType w:val="hybridMultilevel"/>
    <w:tmpl w:val="64C8C3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F7F97"/>
    <w:multiLevelType w:val="hybridMultilevel"/>
    <w:tmpl w:val="C9FE9FF8"/>
    <w:lvl w:ilvl="0" w:tplc="AB2EA622">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3071C"/>
    <w:multiLevelType w:val="hybridMultilevel"/>
    <w:tmpl w:val="E0248590"/>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16" w15:restartNumberingAfterBreak="0">
    <w:nsid w:val="5E20368C"/>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F0A33A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20B5B98"/>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A7306E"/>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50055B7"/>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1E56D1"/>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4375E1"/>
    <w:multiLevelType w:val="hybridMultilevel"/>
    <w:tmpl w:val="34CCFD8E"/>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576FA"/>
    <w:multiLevelType w:val="hybridMultilevel"/>
    <w:tmpl w:val="B798C2E8"/>
    <w:lvl w:ilvl="0" w:tplc="6ADE316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9"/>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num>
  <w:num w:numId="7">
    <w:abstractNumId w:val="6"/>
  </w:num>
  <w:num w:numId="8">
    <w:abstractNumId w:val="22"/>
  </w:num>
  <w:num w:numId="9">
    <w:abstractNumId w:val="18"/>
  </w:num>
  <w:num w:numId="10">
    <w:abstractNumId w:val="5"/>
  </w:num>
  <w:num w:numId="11">
    <w:abstractNumId w:val="3"/>
  </w:num>
  <w:num w:numId="12">
    <w:abstractNumId w:val="23"/>
  </w:num>
  <w:num w:numId="13">
    <w:abstractNumId w:val="0"/>
  </w:num>
  <w:num w:numId="14">
    <w:abstractNumId w:val="7"/>
  </w:num>
  <w:num w:numId="15">
    <w:abstractNumId w:val="21"/>
  </w:num>
  <w:num w:numId="16">
    <w:abstractNumId w:val="4"/>
  </w:num>
  <w:num w:numId="17">
    <w:abstractNumId w:val="10"/>
  </w:num>
  <w:num w:numId="18">
    <w:abstractNumId w:val="17"/>
  </w:num>
  <w:num w:numId="19">
    <w:abstractNumId w:val="1"/>
  </w:num>
  <w:num w:numId="20">
    <w:abstractNumId w:val="12"/>
  </w:num>
  <w:num w:numId="21">
    <w:abstractNumId w:val="2"/>
  </w:num>
  <w:num w:numId="22">
    <w:abstractNumId w:val="8"/>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AE"/>
    <w:rsid w:val="00001497"/>
    <w:rsid w:val="00004C15"/>
    <w:rsid w:val="000127E2"/>
    <w:rsid w:val="00014C1A"/>
    <w:rsid w:val="00026607"/>
    <w:rsid w:val="00031250"/>
    <w:rsid w:val="0004773D"/>
    <w:rsid w:val="000576F8"/>
    <w:rsid w:val="00064385"/>
    <w:rsid w:val="00064CFB"/>
    <w:rsid w:val="00086657"/>
    <w:rsid w:val="000A3C5C"/>
    <w:rsid w:val="000A6C7D"/>
    <w:rsid w:val="000B3A9D"/>
    <w:rsid w:val="000C6B29"/>
    <w:rsid w:val="000C76CE"/>
    <w:rsid w:val="000C7DD9"/>
    <w:rsid w:val="000E160A"/>
    <w:rsid w:val="001043E8"/>
    <w:rsid w:val="00105AF5"/>
    <w:rsid w:val="00110DC2"/>
    <w:rsid w:val="00115A8B"/>
    <w:rsid w:val="00116000"/>
    <w:rsid w:val="00125DDD"/>
    <w:rsid w:val="00137110"/>
    <w:rsid w:val="0014164A"/>
    <w:rsid w:val="0014259C"/>
    <w:rsid w:val="001454A9"/>
    <w:rsid w:val="00165710"/>
    <w:rsid w:val="001766CD"/>
    <w:rsid w:val="00180BCF"/>
    <w:rsid w:val="001906B7"/>
    <w:rsid w:val="00192DEA"/>
    <w:rsid w:val="00194174"/>
    <w:rsid w:val="001947B2"/>
    <w:rsid w:val="00197FBE"/>
    <w:rsid w:val="001A22EC"/>
    <w:rsid w:val="001A3134"/>
    <w:rsid w:val="001C1361"/>
    <w:rsid w:val="001C41C9"/>
    <w:rsid w:val="001C49F7"/>
    <w:rsid w:val="001C5D95"/>
    <w:rsid w:val="001D41E2"/>
    <w:rsid w:val="001F033F"/>
    <w:rsid w:val="001F3E25"/>
    <w:rsid w:val="002001B5"/>
    <w:rsid w:val="00227328"/>
    <w:rsid w:val="00230024"/>
    <w:rsid w:val="00237B55"/>
    <w:rsid w:val="00243CAE"/>
    <w:rsid w:val="00254463"/>
    <w:rsid w:val="00263FFB"/>
    <w:rsid w:val="00265960"/>
    <w:rsid w:val="00277CA1"/>
    <w:rsid w:val="00293192"/>
    <w:rsid w:val="002949A3"/>
    <w:rsid w:val="002A0C00"/>
    <w:rsid w:val="002A5D8A"/>
    <w:rsid w:val="002A6442"/>
    <w:rsid w:val="002B262C"/>
    <w:rsid w:val="002B6FB1"/>
    <w:rsid w:val="002E1830"/>
    <w:rsid w:val="002F2857"/>
    <w:rsid w:val="00300230"/>
    <w:rsid w:val="00300F68"/>
    <w:rsid w:val="003048FB"/>
    <w:rsid w:val="00312D87"/>
    <w:rsid w:val="00324827"/>
    <w:rsid w:val="00336462"/>
    <w:rsid w:val="00342B66"/>
    <w:rsid w:val="003502BD"/>
    <w:rsid w:val="00371730"/>
    <w:rsid w:val="00386B7F"/>
    <w:rsid w:val="003B280B"/>
    <w:rsid w:val="003C532D"/>
    <w:rsid w:val="003D105C"/>
    <w:rsid w:val="003D7DB5"/>
    <w:rsid w:val="00413860"/>
    <w:rsid w:val="0041542F"/>
    <w:rsid w:val="0043016D"/>
    <w:rsid w:val="004352FE"/>
    <w:rsid w:val="00441001"/>
    <w:rsid w:val="004570D3"/>
    <w:rsid w:val="0047704C"/>
    <w:rsid w:val="00483A7B"/>
    <w:rsid w:val="0049077A"/>
    <w:rsid w:val="00491177"/>
    <w:rsid w:val="004A5FDB"/>
    <w:rsid w:val="004B1176"/>
    <w:rsid w:val="004B52D1"/>
    <w:rsid w:val="004C3065"/>
    <w:rsid w:val="004C72DB"/>
    <w:rsid w:val="004D72DE"/>
    <w:rsid w:val="004F0E56"/>
    <w:rsid w:val="0050222A"/>
    <w:rsid w:val="00513EEA"/>
    <w:rsid w:val="00530536"/>
    <w:rsid w:val="0053058F"/>
    <w:rsid w:val="00535F7A"/>
    <w:rsid w:val="00546A5D"/>
    <w:rsid w:val="005602C4"/>
    <w:rsid w:val="00574E7A"/>
    <w:rsid w:val="00575CF1"/>
    <w:rsid w:val="0058367F"/>
    <w:rsid w:val="005861F9"/>
    <w:rsid w:val="00590412"/>
    <w:rsid w:val="005A383C"/>
    <w:rsid w:val="005B4FFB"/>
    <w:rsid w:val="005C0A49"/>
    <w:rsid w:val="005C30D7"/>
    <w:rsid w:val="005F2299"/>
    <w:rsid w:val="0060007B"/>
    <w:rsid w:val="0062229E"/>
    <w:rsid w:val="00634C16"/>
    <w:rsid w:val="00640DAE"/>
    <w:rsid w:val="00643E4A"/>
    <w:rsid w:val="0065586A"/>
    <w:rsid w:val="00657259"/>
    <w:rsid w:val="006663D9"/>
    <w:rsid w:val="00677CD8"/>
    <w:rsid w:val="00681F84"/>
    <w:rsid w:val="00684E15"/>
    <w:rsid w:val="006870E7"/>
    <w:rsid w:val="00690600"/>
    <w:rsid w:val="006B10B0"/>
    <w:rsid w:val="006B28E7"/>
    <w:rsid w:val="006C5C90"/>
    <w:rsid w:val="006D1033"/>
    <w:rsid w:val="006D103D"/>
    <w:rsid w:val="006D34A3"/>
    <w:rsid w:val="006D657A"/>
    <w:rsid w:val="006E2C56"/>
    <w:rsid w:val="00700273"/>
    <w:rsid w:val="00700E32"/>
    <w:rsid w:val="00701B65"/>
    <w:rsid w:val="007046B1"/>
    <w:rsid w:val="00731D40"/>
    <w:rsid w:val="00742052"/>
    <w:rsid w:val="00742B15"/>
    <w:rsid w:val="00745409"/>
    <w:rsid w:val="007528E7"/>
    <w:rsid w:val="007637A2"/>
    <w:rsid w:val="00765A61"/>
    <w:rsid w:val="00790EB1"/>
    <w:rsid w:val="00796F80"/>
    <w:rsid w:val="007A30ED"/>
    <w:rsid w:val="007A61F6"/>
    <w:rsid w:val="007C04ED"/>
    <w:rsid w:val="007C39F6"/>
    <w:rsid w:val="007D1D62"/>
    <w:rsid w:val="007D42CE"/>
    <w:rsid w:val="007E0068"/>
    <w:rsid w:val="007F360B"/>
    <w:rsid w:val="00800B9D"/>
    <w:rsid w:val="00812063"/>
    <w:rsid w:val="00824C1E"/>
    <w:rsid w:val="00831C6B"/>
    <w:rsid w:val="008676F6"/>
    <w:rsid w:val="008736CA"/>
    <w:rsid w:val="008879A3"/>
    <w:rsid w:val="00891824"/>
    <w:rsid w:val="008A33A6"/>
    <w:rsid w:val="008A5CC4"/>
    <w:rsid w:val="008B1AC3"/>
    <w:rsid w:val="008B1AC9"/>
    <w:rsid w:val="008B2059"/>
    <w:rsid w:val="008B2A4F"/>
    <w:rsid w:val="008B55C6"/>
    <w:rsid w:val="008C39B2"/>
    <w:rsid w:val="008C6461"/>
    <w:rsid w:val="008D0334"/>
    <w:rsid w:val="008D4A7B"/>
    <w:rsid w:val="008E02B4"/>
    <w:rsid w:val="008F6285"/>
    <w:rsid w:val="00916390"/>
    <w:rsid w:val="00940E20"/>
    <w:rsid w:val="00947A11"/>
    <w:rsid w:val="00955D58"/>
    <w:rsid w:val="00975B4D"/>
    <w:rsid w:val="009857CC"/>
    <w:rsid w:val="00990384"/>
    <w:rsid w:val="009A1F63"/>
    <w:rsid w:val="009B2060"/>
    <w:rsid w:val="009B789A"/>
    <w:rsid w:val="009C5DE7"/>
    <w:rsid w:val="009C6106"/>
    <w:rsid w:val="009D417B"/>
    <w:rsid w:val="009D42A6"/>
    <w:rsid w:val="009E38BA"/>
    <w:rsid w:val="009E59DC"/>
    <w:rsid w:val="00A1696D"/>
    <w:rsid w:val="00A174CB"/>
    <w:rsid w:val="00A25C6F"/>
    <w:rsid w:val="00A34576"/>
    <w:rsid w:val="00A34FB1"/>
    <w:rsid w:val="00A4700F"/>
    <w:rsid w:val="00A519EA"/>
    <w:rsid w:val="00A950F5"/>
    <w:rsid w:val="00AB36F3"/>
    <w:rsid w:val="00AC3E63"/>
    <w:rsid w:val="00AD072E"/>
    <w:rsid w:val="00AD5EF8"/>
    <w:rsid w:val="00AE1440"/>
    <w:rsid w:val="00B00D59"/>
    <w:rsid w:val="00B07DF5"/>
    <w:rsid w:val="00B114ED"/>
    <w:rsid w:val="00B13734"/>
    <w:rsid w:val="00B23936"/>
    <w:rsid w:val="00B30C8C"/>
    <w:rsid w:val="00B44119"/>
    <w:rsid w:val="00B57C06"/>
    <w:rsid w:val="00B9105C"/>
    <w:rsid w:val="00BA48D1"/>
    <w:rsid w:val="00BB0614"/>
    <w:rsid w:val="00BC1775"/>
    <w:rsid w:val="00BD2342"/>
    <w:rsid w:val="00BE09D5"/>
    <w:rsid w:val="00BE73DA"/>
    <w:rsid w:val="00C03082"/>
    <w:rsid w:val="00C1057A"/>
    <w:rsid w:val="00C14EDB"/>
    <w:rsid w:val="00C3215D"/>
    <w:rsid w:val="00C36E78"/>
    <w:rsid w:val="00C54D6D"/>
    <w:rsid w:val="00C630A5"/>
    <w:rsid w:val="00C73CAA"/>
    <w:rsid w:val="00C860C2"/>
    <w:rsid w:val="00C9128D"/>
    <w:rsid w:val="00C936CF"/>
    <w:rsid w:val="00C96E27"/>
    <w:rsid w:val="00CB0B02"/>
    <w:rsid w:val="00CB19AE"/>
    <w:rsid w:val="00CC014D"/>
    <w:rsid w:val="00CE375D"/>
    <w:rsid w:val="00D147F8"/>
    <w:rsid w:val="00D2495B"/>
    <w:rsid w:val="00D2625C"/>
    <w:rsid w:val="00D331BC"/>
    <w:rsid w:val="00D3702F"/>
    <w:rsid w:val="00D52D06"/>
    <w:rsid w:val="00D80DBB"/>
    <w:rsid w:val="00D86823"/>
    <w:rsid w:val="00D95170"/>
    <w:rsid w:val="00DC4C1F"/>
    <w:rsid w:val="00DC7E72"/>
    <w:rsid w:val="00DD091D"/>
    <w:rsid w:val="00DD6064"/>
    <w:rsid w:val="00DF3574"/>
    <w:rsid w:val="00DF5F10"/>
    <w:rsid w:val="00E26C4A"/>
    <w:rsid w:val="00E41485"/>
    <w:rsid w:val="00E4449B"/>
    <w:rsid w:val="00E46056"/>
    <w:rsid w:val="00E469BE"/>
    <w:rsid w:val="00E61177"/>
    <w:rsid w:val="00E67699"/>
    <w:rsid w:val="00E8153F"/>
    <w:rsid w:val="00EA7249"/>
    <w:rsid w:val="00EF7BED"/>
    <w:rsid w:val="00F1376C"/>
    <w:rsid w:val="00F20F4C"/>
    <w:rsid w:val="00F35526"/>
    <w:rsid w:val="00F60153"/>
    <w:rsid w:val="00F61FE5"/>
    <w:rsid w:val="00F66DCF"/>
    <w:rsid w:val="00F76BF3"/>
    <w:rsid w:val="00F8094B"/>
    <w:rsid w:val="00F8392F"/>
    <w:rsid w:val="00F93CB0"/>
    <w:rsid w:val="00F95ADD"/>
    <w:rsid w:val="00FA0DFB"/>
    <w:rsid w:val="00FA25BE"/>
    <w:rsid w:val="00FA5A77"/>
    <w:rsid w:val="00FB259F"/>
    <w:rsid w:val="00FB5853"/>
    <w:rsid w:val="00FB64AF"/>
    <w:rsid w:val="00FE4E98"/>
    <w:rsid w:val="00FF5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5:docId w15:val="{F3C1D244-9BF6-4CD7-A633-0F1E0B9B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144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rsid w:val="00230024"/>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9E59DC"/>
    <w:rPr>
      <w:rFonts w:cs="Times New Roman"/>
      <w:sz w:val="2"/>
    </w:rPr>
  </w:style>
  <w:style w:type="character" w:styleId="Collegamentoipertestuale">
    <w:name w:val="Hyperlink"/>
    <w:basedOn w:val="Carpredefinitoparagrafo"/>
    <w:uiPriority w:val="99"/>
    <w:rsid w:val="00F66DCF"/>
    <w:rPr>
      <w:rFonts w:cs="Times New Roman"/>
      <w:color w:val="0000FF"/>
      <w:u w:val="single"/>
    </w:rPr>
  </w:style>
  <w:style w:type="paragraph" w:styleId="Intestazione">
    <w:name w:val="header"/>
    <w:basedOn w:val="Normale"/>
    <w:link w:val="IntestazioneCarattere"/>
    <w:uiPriority w:val="99"/>
    <w:rsid w:val="000C6B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E59DC"/>
    <w:rPr>
      <w:rFonts w:cs="Times New Roman"/>
      <w:sz w:val="24"/>
      <w:szCs w:val="24"/>
    </w:rPr>
  </w:style>
  <w:style w:type="paragraph" w:styleId="Pidipagina">
    <w:name w:val="footer"/>
    <w:basedOn w:val="Normale"/>
    <w:link w:val="PidipaginaCarattere"/>
    <w:uiPriority w:val="99"/>
    <w:rsid w:val="000C6B2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E59DC"/>
    <w:rPr>
      <w:rFonts w:cs="Times New Roman"/>
      <w:sz w:val="24"/>
      <w:szCs w:val="24"/>
    </w:rPr>
  </w:style>
  <w:style w:type="paragraph" w:styleId="Testofumetto">
    <w:name w:val="Balloon Text"/>
    <w:basedOn w:val="Normale"/>
    <w:link w:val="TestofumettoCarattere"/>
    <w:uiPriority w:val="99"/>
    <w:semiHidden/>
    <w:rsid w:val="00D37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E59DC"/>
    <w:rPr>
      <w:rFonts w:cs="Times New Roman"/>
      <w:sz w:val="2"/>
    </w:rPr>
  </w:style>
  <w:style w:type="table" w:styleId="Grigliatabella">
    <w:name w:val="Table Grid"/>
    <w:basedOn w:val="Tabellanormale"/>
    <w:uiPriority w:val="99"/>
    <w:rsid w:val="001947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574E7A"/>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E59DC"/>
    <w:rPr>
      <w:rFonts w:cs="Times New Roman"/>
      <w:sz w:val="20"/>
      <w:szCs w:val="20"/>
    </w:rPr>
  </w:style>
  <w:style w:type="character" w:styleId="Rimandonotaapidipagina">
    <w:name w:val="footnote reference"/>
    <w:basedOn w:val="Carpredefinitoparagrafo"/>
    <w:uiPriority w:val="99"/>
    <w:semiHidden/>
    <w:rsid w:val="00574E7A"/>
    <w:rPr>
      <w:rFonts w:cs="Times New Roman"/>
      <w:vertAlign w:val="superscript"/>
    </w:rPr>
  </w:style>
  <w:style w:type="paragraph" w:styleId="Paragrafoelenco">
    <w:name w:val="List Paragraph"/>
    <w:basedOn w:val="Normale"/>
    <w:uiPriority w:val="99"/>
    <w:qFormat/>
    <w:rsid w:val="00CB19A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14490">
      <w:marLeft w:val="0"/>
      <w:marRight w:val="0"/>
      <w:marTop w:val="0"/>
      <w:marBottom w:val="0"/>
      <w:divBdr>
        <w:top w:val="none" w:sz="0" w:space="0" w:color="auto"/>
        <w:left w:val="none" w:sz="0" w:space="0" w:color="auto"/>
        <w:bottom w:val="none" w:sz="0" w:space="0" w:color="auto"/>
        <w:right w:val="none" w:sz="0" w:space="0" w:color="auto"/>
      </w:divBdr>
    </w:div>
    <w:div w:id="923414491">
      <w:marLeft w:val="0"/>
      <w:marRight w:val="0"/>
      <w:marTop w:val="0"/>
      <w:marBottom w:val="0"/>
      <w:divBdr>
        <w:top w:val="none" w:sz="0" w:space="0" w:color="auto"/>
        <w:left w:val="none" w:sz="0" w:space="0" w:color="auto"/>
        <w:bottom w:val="none" w:sz="0" w:space="0" w:color="auto"/>
        <w:right w:val="none" w:sz="0" w:space="0" w:color="auto"/>
      </w:divBdr>
    </w:div>
    <w:div w:id="923414492">
      <w:marLeft w:val="0"/>
      <w:marRight w:val="0"/>
      <w:marTop w:val="0"/>
      <w:marBottom w:val="0"/>
      <w:divBdr>
        <w:top w:val="none" w:sz="0" w:space="0" w:color="auto"/>
        <w:left w:val="none" w:sz="0" w:space="0" w:color="auto"/>
        <w:bottom w:val="none" w:sz="0" w:space="0" w:color="auto"/>
        <w:right w:val="none" w:sz="0" w:space="0" w:color="auto"/>
      </w:divBdr>
    </w:div>
    <w:div w:id="923414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etto\Desktop\carta%20intestata%20Sanmicheli%202011%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Sanmicheli 2011 2012</Template>
  <TotalTime>0</TotalTime>
  <Pages>2</Pages>
  <Words>715</Words>
  <Characters>4078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Istituto Superiore “Michele Sanmicheli”</vt:lpstr>
    </vt:vector>
  </TitlesOfParts>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“Michele Sanmicheli”</dc:title>
  <dc:subject/>
  <dc:creator>pellegatta</dc:creator>
  <cp:keywords/>
  <dc:description/>
  <cp:lastModifiedBy>Lina Pellegatta</cp:lastModifiedBy>
  <cp:revision>2</cp:revision>
  <cp:lastPrinted>2014-12-03T13:49:00Z</cp:lastPrinted>
  <dcterms:created xsi:type="dcterms:W3CDTF">2015-10-24T08:37:00Z</dcterms:created>
  <dcterms:modified xsi:type="dcterms:W3CDTF">2015-10-24T08:37:00Z</dcterms:modified>
</cp:coreProperties>
</file>